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969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0"/>
        <w:gridCol w:w="2250"/>
        <w:gridCol w:w="1800"/>
        <w:gridCol w:w="620"/>
        <w:gridCol w:w="170"/>
      </w:tblGrid>
      <w:tr w:rsidR="00EB72E1" w:rsidRPr="00AD46D3" w:rsidTr="00EB72E1">
        <w:tc>
          <w:tcPr>
            <w:tcW w:w="4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46D3" w:rsidRPr="00AD46D3" w:rsidRDefault="00AD46D3" w:rsidP="007F2B33">
            <w:pPr>
              <w:spacing w:before="100" w:beforeAutospacing="1" w:after="100" w:afterAutospacing="1"/>
              <w:jc w:val="center"/>
              <w:rPr>
                <w:rFonts w:ascii="HelveticaNeue" w:hAnsi="HelveticaNeue" w:cs="Times New Roman"/>
                <w:color w:val="313131"/>
                <w:sz w:val="24"/>
                <w:szCs w:val="24"/>
              </w:rPr>
            </w:pPr>
            <w:r w:rsidRPr="00AD46D3">
              <w:rPr>
                <w:rFonts w:ascii="Verdana" w:hAnsi="Verdana" w:cs="Times New Roman"/>
                <w:b/>
                <w:bCs/>
                <w:color w:val="FFFFFF"/>
                <w:sz w:val="18"/>
                <w:szCs w:val="18"/>
              </w:rPr>
              <w:t>Goggles [brand/name]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46D3" w:rsidRPr="00AD46D3" w:rsidRDefault="00AD46D3" w:rsidP="007F2B33">
            <w:pPr>
              <w:spacing w:before="100" w:beforeAutospacing="1" w:after="100" w:afterAutospacing="1"/>
              <w:jc w:val="center"/>
              <w:rPr>
                <w:rFonts w:ascii="HelveticaNeue" w:hAnsi="HelveticaNeue" w:cs="Times New Roman"/>
                <w:color w:val="313131"/>
                <w:sz w:val="24"/>
                <w:szCs w:val="24"/>
              </w:rPr>
            </w:pPr>
            <w:r w:rsidRPr="00AD46D3">
              <w:rPr>
                <w:rFonts w:ascii="Verdana" w:hAnsi="Verdana" w:cs="Times New Roman"/>
                <w:b/>
                <w:bCs/>
                <w:color w:val="FFFFFF"/>
                <w:sz w:val="18"/>
                <w:szCs w:val="18"/>
              </w:rPr>
              <w:t>ITEM CODE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46D3" w:rsidRPr="00AD46D3" w:rsidRDefault="00AD46D3" w:rsidP="007F2B33">
            <w:pPr>
              <w:spacing w:before="100" w:beforeAutospacing="1" w:after="100" w:afterAutospacing="1"/>
              <w:jc w:val="center"/>
              <w:rPr>
                <w:rFonts w:ascii="HelveticaNeue" w:hAnsi="HelveticaNeue" w:cs="Times New Roman"/>
                <w:color w:val="313131"/>
                <w:sz w:val="24"/>
                <w:szCs w:val="24"/>
              </w:rPr>
            </w:pPr>
            <w:r w:rsidRPr="00AD46D3">
              <w:rPr>
                <w:rFonts w:ascii="Verdana" w:hAnsi="Verdana" w:cs="Times New Roman"/>
                <w:b/>
                <w:bCs/>
                <w:color w:val="FFFFFF"/>
                <w:sz w:val="18"/>
                <w:szCs w:val="18"/>
              </w:rPr>
              <w:t>Field Hockey ASTM 2713</w:t>
            </w: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46D3" w:rsidRPr="00AD46D3" w:rsidRDefault="00AD46D3" w:rsidP="007F2B33">
            <w:pPr>
              <w:spacing w:before="100" w:beforeAutospacing="1" w:after="100" w:afterAutospacing="1"/>
              <w:jc w:val="center"/>
              <w:rPr>
                <w:rFonts w:ascii="HelveticaNeue" w:hAnsi="HelveticaNeue" w:cs="Times New Roman"/>
                <w:color w:val="313131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46D3" w:rsidRPr="00AD46D3" w:rsidRDefault="00AD46D3" w:rsidP="007F2B33">
            <w:pPr>
              <w:spacing w:before="100" w:beforeAutospacing="1" w:after="100" w:afterAutospacing="1"/>
              <w:jc w:val="center"/>
              <w:rPr>
                <w:rFonts w:ascii="HelveticaNeue" w:hAnsi="HelveticaNeue" w:cs="Times New Roman"/>
                <w:color w:val="313131"/>
                <w:sz w:val="24"/>
                <w:szCs w:val="24"/>
              </w:rPr>
            </w:pPr>
          </w:p>
        </w:tc>
      </w:tr>
      <w:tr w:rsidR="007F2B33" w:rsidRPr="00AD46D3" w:rsidTr="00EB72E1">
        <w:trPr>
          <w:gridAfter w:val="2"/>
          <w:wAfter w:w="790" w:type="dxa"/>
        </w:trPr>
        <w:tc>
          <w:tcPr>
            <w:tcW w:w="4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B33" w:rsidRPr="00AD46D3" w:rsidRDefault="007F2B33" w:rsidP="007F2B33">
            <w:pPr>
              <w:spacing w:before="100" w:beforeAutospacing="1" w:after="100" w:afterAutospacing="1"/>
              <w:jc w:val="center"/>
              <w:rPr>
                <w:rFonts w:ascii="HelveticaNeue" w:hAnsi="HelveticaNeue" w:cs="Times New Roman"/>
                <w:color w:val="313131"/>
                <w:sz w:val="24"/>
                <w:szCs w:val="24"/>
              </w:rPr>
            </w:pPr>
            <w:r w:rsidRPr="00AD46D3">
              <w:rPr>
                <w:rFonts w:ascii="Verdana" w:hAnsi="Verdana" w:cs="Times New Roman"/>
                <w:color w:val="000000"/>
                <w:sz w:val="18"/>
                <w:szCs w:val="18"/>
              </w:rPr>
              <w:t>Bangerz Elite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B33" w:rsidRPr="00AD46D3" w:rsidRDefault="0007139B" w:rsidP="007F2B33">
            <w:pPr>
              <w:spacing w:before="100" w:beforeAutospacing="1" w:after="100" w:afterAutospacing="1"/>
              <w:jc w:val="center"/>
              <w:rPr>
                <w:rFonts w:ascii="HelveticaNeue" w:hAnsi="HelveticaNeue" w:cs="Times New Roman"/>
                <w:color w:val="313131"/>
                <w:sz w:val="24"/>
                <w:szCs w:val="24"/>
              </w:rPr>
            </w:pPr>
            <w:hyperlink r:id="rId6" w:tgtFrame="_blank" w:history="1">
              <w:r w:rsidR="007F2B33" w:rsidRPr="00AD46D3">
                <w:rPr>
                  <w:rFonts w:ascii="Verdana" w:hAnsi="Verdana" w:cs="Times New Roman"/>
                  <w:color w:val="660000"/>
                  <w:sz w:val="21"/>
                  <w:szCs w:val="21"/>
                </w:rPr>
                <w:t>LHSE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B33" w:rsidRPr="00AD46D3" w:rsidRDefault="007F2B33" w:rsidP="007F2B33">
            <w:pPr>
              <w:spacing w:before="100" w:beforeAutospacing="1" w:after="100" w:afterAutospacing="1"/>
              <w:jc w:val="center"/>
              <w:rPr>
                <w:rFonts w:ascii="HelveticaNeue" w:hAnsi="HelveticaNeue" w:cs="Times New Roman"/>
                <w:color w:val="313131"/>
                <w:sz w:val="24"/>
                <w:szCs w:val="24"/>
              </w:rPr>
            </w:pPr>
            <w:r w:rsidRPr="00AD46D3">
              <w:rPr>
                <w:rFonts w:ascii="Verdana" w:hAnsi="Verdana" w:cs="Times New Roman"/>
                <w:color w:val="000000"/>
                <w:sz w:val="18"/>
                <w:szCs w:val="18"/>
              </w:rPr>
              <w:t>Approved</w:t>
            </w:r>
          </w:p>
        </w:tc>
      </w:tr>
      <w:tr w:rsidR="007F2B33" w:rsidRPr="00AD46D3" w:rsidTr="00EB72E1">
        <w:trPr>
          <w:gridAfter w:val="2"/>
          <w:wAfter w:w="790" w:type="dxa"/>
        </w:trPr>
        <w:tc>
          <w:tcPr>
            <w:tcW w:w="4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B33" w:rsidRPr="00AD46D3" w:rsidRDefault="007F2B33" w:rsidP="007F2B33">
            <w:pPr>
              <w:spacing w:before="100" w:beforeAutospacing="1" w:after="100" w:afterAutospacing="1"/>
              <w:jc w:val="center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/>
                <w:sz w:val="18"/>
                <w:szCs w:val="18"/>
              </w:rPr>
              <w:t xml:space="preserve">Bangerz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B33" w:rsidRDefault="007F2B33" w:rsidP="007F2B33">
            <w:pPr>
              <w:spacing w:before="100" w:beforeAutospacing="1" w:after="100" w:afterAutospacing="1"/>
              <w:jc w:val="center"/>
            </w:pPr>
            <w:r>
              <w:t>HS 3700LT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B33" w:rsidRPr="00AD46D3" w:rsidRDefault="007F2B33" w:rsidP="007F2B33">
            <w:pPr>
              <w:spacing w:before="100" w:beforeAutospacing="1" w:after="100" w:afterAutospacing="1"/>
              <w:jc w:val="center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/>
                <w:sz w:val="18"/>
                <w:szCs w:val="18"/>
              </w:rPr>
              <w:t>Approved</w:t>
            </w:r>
          </w:p>
        </w:tc>
      </w:tr>
      <w:tr w:rsidR="007F2B33" w:rsidRPr="00AD46D3" w:rsidTr="00EB72E1">
        <w:trPr>
          <w:gridAfter w:val="2"/>
          <w:wAfter w:w="790" w:type="dxa"/>
        </w:trPr>
        <w:tc>
          <w:tcPr>
            <w:tcW w:w="4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B33" w:rsidRPr="00AD46D3" w:rsidRDefault="007F2B33" w:rsidP="007F2B33">
            <w:pPr>
              <w:spacing w:before="100" w:beforeAutospacing="1" w:after="100" w:afterAutospacing="1"/>
              <w:jc w:val="center"/>
              <w:rPr>
                <w:rFonts w:ascii="HelveticaNeue" w:hAnsi="HelveticaNeue" w:cs="Times New Roman"/>
                <w:color w:val="313131"/>
                <w:sz w:val="24"/>
                <w:szCs w:val="24"/>
              </w:rPr>
            </w:pPr>
            <w:r w:rsidRPr="00AD46D3">
              <w:rPr>
                <w:rFonts w:ascii="Verdana" w:hAnsi="Verdana" w:cs="Times New Roman"/>
                <w:color w:val="000000"/>
                <w:sz w:val="18"/>
                <w:szCs w:val="18"/>
              </w:rPr>
              <w:t>Bangerz Sunglass Eyeguard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B33" w:rsidRPr="00AD46D3" w:rsidRDefault="0007139B" w:rsidP="007F2B33">
            <w:pPr>
              <w:spacing w:before="100" w:beforeAutospacing="1" w:after="100" w:afterAutospacing="1"/>
              <w:jc w:val="center"/>
              <w:rPr>
                <w:rFonts w:ascii="HelveticaNeue" w:hAnsi="HelveticaNeue" w:cs="Times New Roman"/>
                <w:color w:val="313131"/>
                <w:sz w:val="24"/>
                <w:szCs w:val="24"/>
              </w:rPr>
            </w:pPr>
            <w:hyperlink r:id="rId7" w:tgtFrame="_blank" w:history="1">
              <w:r w:rsidR="007F2B33" w:rsidRPr="00AD46D3">
                <w:rPr>
                  <w:rFonts w:ascii="Verdana" w:hAnsi="Verdana" w:cs="Times New Roman"/>
                  <w:color w:val="660000"/>
                  <w:sz w:val="21"/>
                  <w:szCs w:val="21"/>
                </w:rPr>
                <w:t>LHS7900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B33" w:rsidRPr="002618A7" w:rsidRDefault="007F2B33" w:rsidP="007F2B33">
            <w:pPr>
              <w:spacing w:before="100" w:beforeAutospacing="1" w:after="100" w:afterAutospacing="1"/>
              <w:jc w:val="center"/>
              <w:rPr>
                <w:rFonts w:ascii="HelveticaNeue" w:hAnsi="HelveticaNeue" w:cs="Times New Roman"/>
                <w:color w:val="313131"/>
                <w:sz w:val="24"/>
                <w:szCs w:val="24"/>
              </w:rPr>
            </w:pPr>
            <w:r w:rsidRPr="002618A7">
              <w:rPr>
                <w:rFonts w:ascii="Verdana" w:hAnsi="Verdana" w:cs="Times New Roman"/>
                <w:color w:val="000000"/>
                <w:sz w:val="18"/>
                <w:szCs w:val="18"/>
              </w:rPr>
              <w:t>Approved</w:t>
            </w:r>
          </w:p>
        </w:tc>
      </w:tr>
      <w:tr w:rsidR="007F2B33" w:rsidRPr="00AD46D3" w:rsidTr="00EB72E1">
        <w:trPr>
          <w:gridAfter w:val="2"/>
          <w:wAfter w:w="790" w:type="dxa"/>
        </w:trPr>
        <w:tc>
          <w:tcPr>
            <w:tcW w:w="4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B33" w:rsidRPr="00AD46D3" w:rsidRDefault="007F2B33" w:rsidP="007F2B33">
            <w:pPr>
              <w:spacing w:before="100" w:beforeAutospacing="1" w:after="100" w:afterAutospacing="1"/>
              <w:jc w:val="center"/>
              <w:rPr>
                <w:rFonts w:ascii="HelveticaNeue" w:hAnsi="HelveticaNeue" w:cs="Times New Roman"/>
                <w:color w:val="313131"/>
                <w:sz w:val="24"/>
                <w:szCs w:val="24"/>
              </w:rPr>
            </w:pPr>
            <w:r w:rsidRPr="00AD46D3">
              <w:rPr>
                <w:rFonts w:ascii="Verdana" w:hAnsi="Verdana" w:cs="Times New Roman"/>
                <w:color w:val="000000"/>
                <w:sz w:val="18"/>
                <w:szCs w:val="18"/>
              </w:rPr>
              <w:t>Bangerz Goggle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B33" w:rsidRPr="00AD46D3" w:rsidRDefault="007F2B33" w:rsidP="007F2B33">
            <w:pPr>
              <w:spacing w:before="100" w:beforeAutospacing="1" w:after="100" w:afterAutospacing="1"/>
              <w:jc w:val="center"/>
              <w:rPr>
                <w:rFonts w:ascii="HelveticaNeue" w:hAnsi="HelveticaNeue" w:cs="Times New Roman"/>
                <w:color w:val="313131"/>
                <w:sz w:val="24"/>
                <w:szCs w:val="24"/>
              </w:rPr>
            </w:pPr>
            <w:r w:rsidRPr="00AD46D3">
              <w:rPr>
                <w:rFonts w:ascii="Verdana" w:hAnsi="Verdana" w:cs="Times New Roman"/>
                <w:color w:val="000000"/>
                <w:sz w:val="18"/>
                <w:szCs w:val="18"/>
              </w:rPr>
              <w:t>LHPG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B33" w:rsidRPr="002618A7" w:rsidRDefault="007F2B33" w:rsidP="007F2B33">
            <w:pPr>
              <w:spacing w:before="100" w:beforeAutospacing="1" w:after="100" w:afterAutospacing="1"/>
              <w:jc w:val="center"/>
              <w:rPr>
                <w:rFonts w:ascii="HelveticaNeue" w:hAnsi="HelveticaNeue" w:cs="Times New Roman"/>
                <w:color w:val="313131"/>
                <w:sz w:val="24"/>
                <w:szCs w:val="24"/>
              </w:rPr>
            </w:pPr>
            <w:r w:rsidRPr="002618A7">
              <w:rPr>
                <w:rFonts w:ascii="Verdana" w:hAnsi="Verdana" w:cs="Times New Roman"/>
                <w:color w:val="000000"/>
                <w:sz w:val="18"/>
                <w:szCs w:val="18"/>
              </w:rPr>
              <w:t>Approved</w:t>
            </w:r>
          </w:p>
        </w:tc>
      </w:tr>
      <w:tr w:rsidR="007F2B33" w:rsidRPr="00AD46D3" w:rsidTr="00EB72E1">
        <w:trPr>
          <w:gridAfter w:val="2"/>
          <w:wAfter w:w="790" w:type="dxa"/>
        </w:trPr>
        <w:tc>
          <w:tcPr>
            <w:tcW w:w="4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B33" w:rsidRPr="00AD46D3" w:rsidRDefault="007F2B33" w:rsidP="007F2B33">
            <w:pPr>
              <w:spacing w:before="100" w:beforeAutospacing="1" w:after="100" w:afterAutospacing="1"/>
              <w:jc w:val="center"/>
              <w:rPr>
                <w:rFonts w:ascii="HelveticaNeue" w:hAnsi="HelveticaNeue" w:cs="Times New Roman"/>
                <w:color w:val="313131"/>
                <w:sz w:val="24"/>
                <w:szCs w:val="24"/>
              </w:rPr>
            </w:pPr>
            <w:r w:rsidRPr="00AD46D3">
              <w:rPr>
                <w:rFonts w:ascii="Verdana" w:hAnsi="Verdana" w:cs="Times New Roman"/>
                <w:color w:val="000000"/>
                <w:sz w:val="18"/>
                <w:szCs w:val="18"/>
              </w:rPr>
              <w:t>Bangerz Sleek Fitting Eyeguard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B33" w:rsidRPr="00AD46D3" w:rsidRDefault="007F2B33" w:rsidP="007F2B33">
            <w:pPr>
              <w:spacing w:before="100" w:beforeAutospacing="1" w:after="100" w:afterAutospacing="1"/>
              <w:jc w:val="center"/>
              <w:rPr>
                <w:rFonts w:ascii="HelveticaNeue" w:hAnsi="HelveticaNeue" w:cs="Times New Roman"/>
                <w:color w:val="313131"/>
                <w:sz w:val="24"/>
                <w:szCs w:val="24"/>
              </w:rPr>
            </w:pPr>
            <w:r w:rsidRPr="00AD46D3">
              <w:rPr>
                <w:rFonts w:ascii="Verdana" w:hAnsi="Verdana" w:cs="Times New Roman"/>
                <w:color w:val="000000"/>
                <w:sz w:val="18"/>
                <w:szCs w:val="18"/>
              </w:rPr>
              <w:t>LHS5500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B33" w:rsidRPr="002618A7" w:rsidRDefault="007F2B33" w:rsidP="007F2B33">
            <w:pPr>
              <w:spacing w:before="100" w:beforeAutospacing="1" w:after="100" w:afterAutospacing="1"/>
              <w:jc w:val="center"/>
              <w:rPr>
                <w:rFonts w:ascii="HelveticaNeue" w:hAnsi="HelveticaNeue" w:cs="Times New Roman"/>
                <w:color w:val="313131"/>
                <w:sz w:val="24"/>
                <w:szCs w:val="24"/>
              </w:rPr>
            </w:pPr>
            <w:r w:rsidRPr="002618A7">
              <w:rPr>
                <w:rFonts w:ascii="Verdana" w:hAnsi="Verdana" w:cs="Times New Roman"/>
                <w:color w:val="000000"/>
                <w:sz w:val="18"/>
                <w:szCs w:val="18"/>
              </w:rPr>
              <w:t>Approved</w:t>
            </w:r>
          </w:p>
        </w:tc>
      </w:tr>
      <w:tr w:rsidR="007F2B33" w:rsidRPr="00AD46D3" w:rsidTr="00EB72E1">
        <w:trPr>
          <w:gridAfter w:val="2"/>
          <w:wAfter w:w="790" w:type="dxa"/>
        </w:trPr>
        <w:tc>
          <w:tcPr>
            <w:tcW w:w="4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B33" w:rsidRPr="00AD46D3" w:rsidRDefault="007F2B33" w:rsidP="007F2B33">
            <w:pPr>
              <w:spacing w:before="100" w:beforeAutospacing="1" w:after="100" w:afterAutospacing="1"/>
              <w:jc w:val="center"/>
              <w:rPr>
                <w:rFonts w:ascii="HelveticaNeue" w:hAnsi="HelveticaNeue" w:cs="Times New Roman"/>
                <w:color w:val="313131"/>
                <w:sz w:val="24"/>
                <w:szCs w:val="24"/>
              </w:rPr>
            </w:pPr>
            <w:r w:rsidRPr="00AD46D3">
              <w:rPr>
                <w:rFonts w:ascii="Verdana" w:hAnsi="Verdana" w:cs="Times New Roman"/>
                <w:color w:val="000000"/>
                <w:sz w:val="18"/>
                <w:szCs w:val="18"/>
              </w:rPr>
              <w:t>Bangerz Sleek Fitting Eyeguard Youth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B33" w:rsidRPr="00AD46D3" w:rsidRDefault="0007139B" w:rsidP="007F2B33">
            <w:pPr>
              <w:spacing w:before="100" w:beforeAutospacing="1" w:after="100" w:afterAutospacing="1"/>
              <w:jc w:val="center"/>
              <w:rPr>
                <w:rFonts w:ascii="HelveticaNeue" w:hAnsi="HelveticaNeue" w:cs="Times New Roman"/>
                <w:color w:val="313131"/>
                <w:sz w:val="24"/>
                <w:szCs w:val="24"/>
              </w:rPr>
            </w:pPr>
            <w:hyperlink r:id="rId8" w:tgtFrame="_blank" w:history="1">
              <w:r w:rsidR="007F2B33" w:rsidRPr="00AD46D3">
                <w:rPr>
                  <w:rFonts w:ascii="Verdana" w:hAnsi="Verdana" w:cs="Times New Roman"/>
                  <w:color w:val="660000"/>
                  <w:sz w:val="21"/>
                  <w:szCs w:val="21"/>
                </w:rPr>
                <w:t>LHS6000Y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B33" w:rsidRPr="002618A7" w:rsidRDefault="007F2B33" w:rsidP="007F2B33">
            <w:pPr>
              <w:spacing w:before="100" w:beforeAutospacing="1" w:after="100" w:afterAutospacing="1"/>
              <w:jc w:val="center"/>
              <w:rPr>
                <w:rFonts w:ascii="HelveticaNeue" w:hAnsi="HelveticaNeue" w:cs="Times New Roman"/>
                <w:color w:val="313131"/>
                <w:sz w:val="24"/>
                <w:szCs w:val="24"/>
              </w:rPr>
            </w:pPr>
            <w:r w:rsidRPr="002618A7">
              <w:rPr>
                <w:rFonts w:ascii="Verdana" w:hAnsi="Verdana" w:cs="Times New Roman"/>
                <w:color w:val="000000"/>
                <w:sz w:val="18"/>
                <w:szCs w:val="18"/>
              </w:rPr>
              <w:t>Approved</w:t>
            </w:r>
          </w:p>
        </w:tc>
      </w:tr>
      <w:tr w:rsidR="007F2B33" w:rsidRPr="00AD46D3" w:rsidTr="00EB72E1">
        <w:trPr>
          <w:gridAfter w:val="2"/>
          <w:wAfter w:w="790" w:type="dxa"/>
        </w:trPr>
        <w:tc>
          <w:tcPr>
            <w:tcW w:w="4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B33" w:rsidRPr="00AD46D3" w:rsidRDefault="007F2B33" w:rsidP="007F2B33">
            <w:pPr>
              <w:spacing w:before="100" w:beforeAutospacing="1" w:after="100" w:afterAutospacing="1"/>
              <w:jc w:val="center"/>
              <w:rPr>
                <w:rFonts w:ascii="HelveticaNeue" w:hAnsi="HelveticaNeue" w:cs="Times New Roman"/>
                <w:color w:val="313131"/>
                <w:sz w:val="24"/>
                <w:szCs w:val="24"/>
              </w:rPr>
            </w:pPr>
            <w:r w:rsidRPr="00AD46D3">
              <w:rPr>
                <w:rFonts w:ascii="Verdana" w:hAnsi="Verdana" w:cs="Times New Roman"/>
                <w:color w:val="000000"/>
                <w:sz w:val="18"/>
                <w:szCs w:val="18"/>
              </w:rPr>
              <w:t>Bangerz Over the Glasses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B33" w:rsidRPr="00AD46D3" w:rsidRDefault="0007139B" w:rsidP="007F2B33">
            <w:pPr>
              <w:spacing w:before="100" w:beforeAutospacing="1" w:after="100" w:afterAutospacing="1"/>
              <w:jc w:val="center"/>
              <w:rPr>
                <w:rFonts w:ascii="HelveticaNeue" w:hAnsi="HelveticaNeue" w:cs="Times New Roman"/>
                <w:color w:val="313131"/>
                <w:sz w:val="24"/>
                <w:szCs w:val="24"/>
              </w:rPr>
            </w:pPr>
            <w:hyperlink r:id="rId9" w:tgtFrame="_blank" w:history="1">
              <w:r w:rsidR="007F2B33" w:rsidRPr="00AD46D3">
                <w:rPr>
                  <w:rFonts w:ascii="Verdana" w:hAnsi="Verdana" w:cs="Times New Roman"/>
                  <w:color w:val="660000"/>
                  <w:sz w:val="21"/>
                  <w:szCs w:val="21"/>
                </w:rPr>
                <w:t>LHOGG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B33" w:rsidRPr="002618A7" w:rsidRDefault="007F2B33" w:rsidP="007F2B33">
            <w:pPr>
              <w:spacing w:before="100" w:beforeAutospacing="1" w:after="100" w:afterAutospacing="1"/>
              <w:jc w:val="center"/>
              <w:rPr>
                <w:rFonts w:ascii="HelveticaNeue" w:hAnsi="HelveticaNeue" w:cs="Times New Roman"/>
                <w:color w:val="313131"/>
                <w:sz w:val="24"/>
                <w:szCs w:val="24"/>
              </w:rPr>
            </w:pPr>
            <w:r w:rsidRPr="002618A7">
              <w:rPr>
                <w:rFonts w:ascii="Verdana" w:hAnsi="Verdana" w:cs="Times New Roman"/>
                <w:color w:val="000000"/>
                <w:sz w:val="18"/>
                <w:szCs w:val="18"/>
              </w:rPr>
              <w:t>Approved</w:t>
            </w:r>
          </w:p>
        </w:tc>
      </w:tr>
      <w:tr w:rsidR="007F2B33" w:rsidRPr="00AD46D3" w:rsidTr="00EB72E1">
        <w:trPr>
          <w:gridAfter w:val="2"/>
          <w:wAfter w:w="790" w:type="dxa"/>
        </w:trPr>
        <w:tc>
          <w:tcPr>
            <w:tcW w:w="4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B33" w:rsidRPr="00AD46D3" w:rsidRDefault="007F2B33" w:rsidP="007F2B33">
            <w:pPr>
              <w:spacing w:before="100" w:beforeAutospacing="1" w:after="100" w:afterAutospacing="1"/>
              <w:jc w:val="center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/>
                <w:sz w:val="18"/>
                <w:szCs w:val="18"/>
              </w:rPr>
              <w:t>Cascade Iris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B33" w:rsidRDefault="007F2B33" w:rsidP="007F2B33">
            <w:pPr>
              <w:spacing w:before="100" w:beforeAutospacing="1" w:after="100" w:afterAutospacing="1"/>
              <w:jc w:val="center"/>
            </w:pPr>
            <w:r>
              <w:t>Mini pro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B33" w:rsidRPr="00965AAE" w:rsidRDefault="007F2B33" w:rsidP="007F2B33">
            <w:pPr>
              <w:spacing w:before="100" w:beforeAutospacing="1" w:after="100" w:afterAutospacing="1"/>
              <w:jc w:val="center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965AAE">
              <w:rPr>
                <w:rFonts w:ascii="Verdana" w:hAnsi="Verdana" w:cs="Times New Roman"/>
                <w:color w:val="000000"/>
                <w:sz w:val="18"/>
                <w:szCs w:val="18"/>
              </w:rPr>
              <w:t>Approved</w:t>
            </w:r>
          </w:p>
        </w:tc>
      </w:tr>
      <w:tr w:rsidR="007F2B33" w:rsidRPr="00AD46D3" w:rsidTr="00EB72E1">
        <w:trPr>
          <w:gridAfter w:val="2"/>
          <w:wAfter w:w="790" w:type="dxa"/>
        </w:trPr>
        <w:tc>
          <w:tcPr>
            <w:tcW w:w="4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B33" w:rsidRPr="00AD46D3" w:rsidRDefault="007F2B33" w:rsidP="007F2B33">
            <w:pPr>
              <w:spacing w:before="100" w:beforeAutospacing="1" w:after="100" w:afterAutospacing="1"/>
              <w:jc w:val="center"/>
              <w:rPr>
                <w:rFonts w:ascii="HelveticaNeue" w:hAnsi="HelveticaNeue" w:cs="Times New Roman"/>
                <w:color w:val="313131"/>
                <w:sz w:val="24"/>
                <w:szCs w:val="24"/>
              </w:rPr>
            </w:pPr>
            <w:r w:rsidRPr="00AD46D3">
              <w:rPr>
                <w:rFonts w:ascii="Verdana" w:hAnsi="Verdana" w:cs="Times New Roman"/>
                <w:color w:val="000000"/>
                <w:sz w:val="18"/>
                <w:szCs w:val="18"/>
              </w:rPr>
              <w:t>Cascade Polyarc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B33" w:rsidRPr="00AD46D3" w:rsidRDefault="0007139B" w:rsidP="007F2B33">
            <w:pPr>
              <w:spacing w:before="100" w:beforeAutospacing="1" w:after="100" w:afterAutospacing="1"/>
              <w:jc w:val="center"/>
              <w:rPr>
                <w:rFonts w:ascii="HelveticaNeue" w:hAnsi="HelveticaNeue" w:cs="Times New Roman"/>
                <w:color w:val="313131"/>
                <w:sz w:val="24"/>
                <w:szCs w:val="24"/>
              </w:rPr>
            </w:pPr>
            <w:hyperlink r:id="rId10" w:tgtFrame="_blank" w:history="1">
              <w:r w:rsidR="007F2B33" w:rsidRPr="00AD46D3">
                <w:rPr>
                  <w:rFonts w:ascii="Verdana" w:hAnsi="Verdana" w:cs="Times New Roman"/>
                  <w:color w:val="660000"/>
                  <w:sz w:val="21"/>
                  <w:szCs w:val="21"/>
                </w:rPr>
                <w:t>LCPARC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B33" w:rsidRPr="00AD46D3" w:rsidRDefault="007F2B33" w:rsidP="007F2B33">
            <w:pPr>
              <w:spacing w:before="100" w:beforeAutospacing="1" w:after="100" w:afterAutospacing="1"/>
              <w:jc w:val="center"/>
              <w:rPr>
                <w:rFonts w:ascii="HelveticaNeue" w:hAnsi="HelveticaNeue" w:cs="Times New Roman"/>
                <w:color w:val="313131"/>
                <w:sz w:val="24"/>
                <w:szCs w:val="24"/>
              </w:rPr>
            </w:pPr>
            <w:r w:rsidRPr="00AD46D3">
              <w:rPr>
                <w:rFonts w:ascii="Verdana" w:hAnsi="Verdana" w:cs="Times New Roman"/>
                <w:color w:val="000000"/>
                <w:sz w:val="18"/>
                <w:szCs w:val="18"/>
              </w:rPr>
              <w:t>Approved</w:t>
            </w:r>
          </w:p>
        </w:tc>
      </w:tr>
      <w:tr w:rsidR="007F2B33" w:rsidRPr="00AD46D3" w:rsidTr="00EB72E1">
        <w:trPr>
          <w:gridAfter w:val="2"/>
          <w:wAfter w:w="790" w:type="dxa"/>
        </w:trPr>
        <w:tc>
          <w:tcPr>
            <w:tcW w:w="4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B33" w:rsidRPr="00AD46D3" w:rsidRDefault="007F2B33" w:rsidP="007F2B33">
            <w:pPr>
              <w:spacing w:before="100" w:beforeAutospacing="1" w:after="100" w:afterAutospacing="1"/>
              <w:jc w:val="center"/>
              <w:rPr>
                <w:rFonts w:ascii="HelveticaNeue" w:hAnsi="HelveticaNeue" w:cs="Times New Roman"/>
                <w:color w:val="313131"/>
                <w:sz w:val="24"/>
                <w:szCs w:val="24"/>
              </w:rPr>
            </w:pPr>
            <w:r w:rsidRPr="00AD46D3">
              <w:rPr>
                <w:rFonts w:ascii="Verdana" w:hAnsi="Verdana" w:cs="Times New Roman"/>
                <w:color w:val="000000"/>
                <w:sz w:val="18"/>
                <w:szCs w:val="18"/>
              </w:rPr>
              <w:t>STX 2 SEE Pro TI Dual Sport Goggle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B33" w:rsidRPr="00AD46D3" w:rsidRDefault="007F2B33" w:rsidP="007F2B33">
            <w:pPr>
              <w:spacing w:before="100" w:beforeAutospacing="1" w:after="100" w:afterAutospacing="1"/>
              <w:jc w:val="center"/>
              <w:rPr>
                <w:rFonts w:ascii="HelveticaNeue" w:hAnsi="HelveticaNeue" w:cs="Times New Roman"/>
                <w:color w:val="313131"/>
                <w:sz w:val="24"/>
                <w:szCs w:val="24"/>
              </w:rPr>
            </w:pPr>
            <w:r w:rsidRPr="00AD46D3">
              <w:rPr>
                <w:rFonts w:ascii="Verdana" w:hAnsi="Verdana" w:cs="Times New Roman"/>
                <w:color w:val="000000"/>
                <w:sz w:val="18"/>
                <w:szCs w:val="18"/>
              </w:rPr>
              <w:t>STXGFTP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B33" w:rsidRPr="00AD46D3" w:rsidRDefault="007F2B33" w:rsidP="007F2B33">
            <w:pPr>
              <w:spacing w:before="100" w:beforeAutospacing="1" w:after="100" w:afterAutospacing="1"/>
              <w:jc w:val="center"/>
              <w:rPr>
                <w:rFonts w:ascii="HelveticaNeue" w:hAnsi="HelveticaNeue" w:cs="Times New Roman"/>
                <w:color w:val="313131"/>
                <w:sz w:val="24"/>
                <w:szCs w:val="24"/>
              </w:rPr>
            </w:pPr>
            <w:r w:rsidRPr="00AD46D3">
              <w:rPr>
                <w:rFonts w:ascii="Verdana" w:hAnsi="Verdana" w:cs="Times New Roman"/>
                <w:color w:val="000000"/>
                <w:sz w:val="18"/>
                <w:szCs w:val="18"/>
              </w:rPr>
              <w:t>Approved</w:t>
            </w:r>
          </w:p>
        </w:tc>
      </w:tr>
      <w:tr w:rsidR="007F2B33" w:rsidRPr="00AD46D3" w:rsidTr="00EB72E1">
        <w:trPr>
          <w:gridAfter w:val="2"/>
          <w:wAfter w:w="790" w:type="dxa"/>
        </w:trPr>
        <w:tc>
          <w:tcPr>
            <w:tcW w:w="4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B33" w:rsidRPr="00AD46D3" w:rsidRDefault="007F2B33" w:rsidP="007F2B33">
            <w:pPr>
              <w:spacing w:before="100" w:beforeAutospacing="1" w:after="100" w:afterAutospacing="1"/>
              <w:jc w:val="center"/>
              <w:rPr>
                <w:rFonts w:ascii="HelveticaNeue" w:hAnsi="HelveticaNeue" w:cs="Times New Roman"/>
                <w:color w:val="313131"/>
                <w:sz w:val="24"/>
                <w:szCs w:val="24"/>
              </w:rPr>
            </w:pPr>
            <w:r w:rsidRPr="00AD46D3">
              <w:rPr>
                <w:rFonts w:ascii="Verdana" w:hAnsi="Verdana" w:cs="Times New Roman"/>
                <w:color w:val="000000"/>
                <w:sz w:val="18"/>
                <w:szCs w:val="18"/>
              </w:rPr>
              <w:t>STX 2 SEE Dual Sport Goggle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B33" w:rsidRPr="00AD46D3" w:rsidRDefault="0007139B" w:rsidP="007F2B33">
            <w:pPr>
              <w:spacing w:before="100" w:beforeAutospacing="1" w:after="100" w:afterAutospacing="1"/>
              <w:jc w:val="center"/>
              <w:rPr>
                <w:rFonts w:ascii="HelveticaNeue" w:hAnsi="HelveticaNeue" w:cs="Times New Roman"/>
                <w:color w:val="313131"/>
                <w:sz w:val="24"/>
                <w:szCs w:val="24"/>
              </w:rPr>
            </w:pPr>
            <w:hyperlink r:id="rId11" w:tgtFrame="_blank" w:history="1">
              <w:r w:rsidR="007F2B33" w:rsidRPr="00AD46D3">
                <w:rPr>
                  <w:rFonts w:ascii="Verdana" w:hAnsi="Verdana" w:cs="Times New Roman"/>
                  <w:color w:val="660000"/>
                  <w:sz w:val="21"/>
                  <w:szCs w:val="21"/>
                </w:rPr>
                <w:t>STXFHG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B33" w:rsidRPr="00AD46D3" w:rsidRDefault="007F2B33" w:rsidP="007F2B33">
            <w:pPr>
              <w:spacing w:before="100" w:beforeAutospacing="1" w:after="100" w:afterAutospacing="1"/>
              <w:jc w:val="center"/>
              <w:rPr>
                <w:rFonts w:ascii="HelveticaNeue" w:hAnsi="HelveticaNeue" w:cs="Times New Roman"/>
                <w:color w:val="313131"/>
                <w:sz w:val="24"/>
                <w:szCs w:val="24"/>
              </w:rPr>
            </w:pPr>
            <w:r w:rsidRPr="00AD46D3">
              <w:rPr>
                <w:rFonts w:ascii="Verdana" w:hAnsi="Verdana" w:cs="Times New Roman"/>
                <w:color w:val="000000"/>
                <w:sz w:val="18"/>
                <w:szCs w:val="18"/>
              </w:rPr>
              <w:t>Approved</w:t>
            </w:r>
          </w:p>
        </w:tc>
      </w:tr>
      <w:tr w:rsidR="007F2B33" w:rsidRPr="00AD46D3" w:rsidTr="00EB72E1">
        <w:trPr>
          <w:gridAfter w:val="2"/>
          <w:wAfter w:w="790" w:type="dxa"/>
        </w:trPr>
        <w:tc>
          <w:tcPr>
            <w:tcW w:w="4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B33" w:rsidRPr="00AD46D3" w:rsidRDefault="007F2B33" w:rsidP="007F2B33">
            <w:pPr>
              <w:spacing w:before="100" w:beforeAutospacing="1" w:after="100" w:afterAutospacing="1"/>
              <w:jc w:val="center"/>
              <w:rPr>
                <w:rFonts w:ascii="HelveticaNeue" w:hAnsi="HelveticaNeue" w:cs="Times New Roman"/>
                <w:color w:val="313131"/>
                <w:sz w:val="24"/>
                <w:szCs w:val="24"/>
              </w:rPr>
            </w:pPr>
            <w:r w:rsidRPr="00AD46D3">
              <w:rPr>
                <w:rFonts w:ascii="Verdana" w:hAnsi="Verdana" w:cs="Times New Roman"/>
                <w:color w:val="000000"/>
                <w:sz w:val="18"/>
                <w:szCs w:val="18"/>
              </w:rPr>
              <w:t>STX 2 SEE YOUTH Dual Sport Goggle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B33" w:rsidRPr="00AD46D3" w:rsidRDefault="0007139B" w:rsidP="007F2B33">
            <w:pPr>
              <w:spacing w:before="100" w:beforeAutospacing="1" w:after="100" w:afterAutospacing="1"/>
              <w:jc w:val="center"/>
              <w:rPr>
                <w:rFonts w:ascii="HelveticaNeue" w:hAnsi="HelveticaNeue" w:cs="Times New Roman"/>
                <w:color w:val="313131"/>
                <w:sz w:val="24"/>
                <w:szCs w:val="24"/>
              </w:rPr>
            </w:pPr>
            <w:hyperlink r:id="rId12" w:tgtFrame="_blank" w:history="1">
              <w:r w:rsidR="007F2B33" w:rsidRPr="00AD46D3">
                <w:rPr>
                  <w:rFonts w:ascii="Verdana" w:hAnsi="Verdana" w:cs="Times New Roman"/>
                  <w:color w:val="660000"/>
                  <w:sz w:val="21"/>
                  <w:szCs w:val="21"/>
                </w:rPr>
                <w:t>STXFHGY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B33" w:rsidRPr="00AD46D3" w:rsidRDefault="007F2B33" w:rsidP="007F2B33">
            <w:pPr>
              <w:spacing w:before="100" w:beforeAutospacing="1" w:after="100" w:afterAutospacing="1"/>
              <w:jc w:val="center"/>
              <w:rPr>
                <w:rFonts w:ascii="HelveticaNeue" w:hAnsi="HelveticaNeue" w:cs="Times New Roman"/>
                <w:color w:val="313131"/>
                <w:sz w:val="24"/>
                <w:szCs w:val="24"/>
              </w:rPr>
            </w:pPr>
            <w:r w:rsidRPr="00AD46D3">
              <w:rPr>
                <w:rFonts w:ascii="Verdana" w:hAnsi="Verdana" w:cs="Times New Roman"/>
                <w:color w:val="000000"/>
                <w:sz w:val="18"/>
                <w:szCs w:val="18"/>
              </w:rPr>
              <w:t>Approved</w:t>
            </w:r>
          </w:p>
        </w:tc>
      </w:tr>
      <w:tr w:rsidR="007F2B33" w:rsidRPr="00AD46D3" w:rsidTr="00EB72E1">
        <w:trPr>
          <w:gridAfter w:val="2"/>
          <w:wAfter w:w="790" w:type="dxa"/>
        </w:trPr>
        <w:tc>
          <w:tcPr>
            <w:tcW w:w="4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B33" w:rsidRPr="00AD46D3" w:rsidRDefault="007F2B33" w:rsidP="007F2B33">
            <w:pPr>
              <w:spacing w:before="100" w:beforeAutospacing="1" w:after="100" w:afterAutospacing="1"/>
              <w:jc w:val="center"/>
              <w:rPr>
                <w:rFonts w:ascii="HelveticaNeue" w:hAnsi="HelveticaNeue" w:cs="Times New Roman"/>
                <w:color w:val="313131"/>
                <w:sz w:val="24"/>
                <w:szCs w:val="24"/>
              </w:rPr>
            </w:pPr>
            <w:r w:rsidRPr="00AD46D3">
              <w:rPr>
                <w:rFonts w:ascii="Verdana" w:hAnsi="Verdana" w:cs="Times New Roman"/>
                <w:color w:val="000000"/>
                <w:sz w:val="18"/>
                <w:szCs w:val="18"/>
              </w:rPr>
              <w:t>STX Rookie Goggle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B33" w:rsidRPr="00AD46D3" w:rsidRDefault="0007139B" w:rsidP="007F2B33">
            <w:pPr>
              <w:spacing w:before="100" w:beforeAutospacing="1" w:after="100" w:afterAutospacing="1"/>
              <w:jc w:val="center"/>
              <w:rPr>
                <w:rFonts w:ascii="HelveticaNeue" w:hAnsi="HelveticaNeue" w:cs="Times New Roman"/>
                <w:color w:val="313131"/>
                <w:sz w:val="24"/>
                <w:szCs w:val="24"/>
              </w:rPr>
            </w:pPr>
            <w:hyperlink r:id="rId13" w:tgtFrame="_blank" w:history="1">
              <w:r w:rsidR="007F2B33" w:rsidRPr="00AD46D3">
                <w:rPr>
                  <w:rFonts w:ascii="Verdana" w:hAnsi="Verdana" w:cs="Times New Roman"/>
                  <w:color w:val="660000"/>
                  <w:sz w:val="21"/>
                  <w:szCs w:val="21"/>
                </w:rPr>
                <w:t>LSGGLXR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B33" w:rsidRPr="00AD46D3" w:rsidRDefault="007F2B33" w:rsidP="007F2B33">
            <w:pPr>
              <w:spacing w:before="100" w:beforeAutospacing="1" w:after="100" w:afterAutospacing="1"/>
              <w:jc w:val="center"/>
              <w:rPr>
                <w:rFonts w:ascii="HelveticaNeue" w:hAnsi="HelveticaNeue" w:cs="Times New Roman"/>
                <w:color w:val="313131"/>
                <w:sz w:val="24"/>
                <w:szCs w:val="24"/>
              </w:rPr>
            </w:pPr>
            <w:r w:rsidRPr="00AD46D3">
              <w:rPr>
                <w:rFonts w:ascii="Verdana" w:hAnsi="Verdana" w:cs="Times New Roman"/>
                <w:color w:val="000000"/>
                <w:sz w:val="18"/>
                <w:szCs w:val="18"/>
              </w:rPr>
              <w:t>Approved</w:t>
            </w:r>
          </w:p>
        </w:tc>
      </w:tr>
      <w:tr w:rsidR="007F2B33" w:rsidRPr="00AD46D3" w:rsidTr="00EB72E1">
        <w:trPr>
          <w:gridAfter w:val="2"/>
          <w:wAfter w:w="790" w:type="dxa"/>
        </w:trPr>
        <w:tc>
          <w:tcPr>
            <w:tcW w:w="4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B33" w:rsidRPr="00AD46D3" w:rsidRDefault="007F2B33" w:rsidP="007F2B33">
            <w:pPr>
              <w:spacing w:before="100" w:beforeAutospacing="1" w:after="100" w:afterAutospacing="1"/>
              <w:jc w:val="center"/>
              <w:rPr>
                <w:rFonts w:ascii="HelveticaNeue" w:hAnsi="HelveticaNeue" w:cs="Times New Roman"/>
                <w:color w:val="313131"/>
                <w:sz w:val="24"/>
                <w:szCs w:val="24"/>
              </w:rPr>
            </w:pPr>
            <w:r w:rsidRPr="00AD46D3">
              <w:rPr>
                <w:rFonts w:ascii="Verdana" w:hAnsi="Verdana" w:cs="Times New Roman"/>
                <w:color w:val="000000"/>
                <w:sz w:val="18"/>
                <w:szCs w:val="18"/>
              </w:rPr>
              <w:t>Brine Vantage 2 Field Hockey or Lacrosse Goggle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B33" w:rsidRPr="00AD46D3" w:rsidRDefault="0007139B" w:rsidP="007F2B33">
            <w:pPr>
              <w:spacing w:before="100" w:beforeAutospacing="1" w:after="100" w:afterAutospacing="1"/>
              <w:jc w:val="center"/>
              <w:rPr>
                <w:rFonts w:ascii="HelveticaNeue" w:hAnsi="HelveticaNeue" w:cs="Times New Roman"/>
                <w:color w:val="313131"/>
                <w:sz w:val="24"/>
                <w:szCs w:val="24"/>
              </w:rPr>
            </w:pPr>
            <w:hyperlink r:id="rId14" w:tgtFrame="_blank" w:history="1">
              <w:r w:rsidR="007F2B33" w:rsidRPr="00AD46D3">
                <w:rPr>
                  <w:rFonts w:ascii="Verdana" w:hAnsi="Verdana" w:cs="Times New Roman"/>
                  <w:color w:val="660000"/>
                  <w:sz w:val="21"/>
                  <w:szCs w:val="21"/>
                </w:rPr>
                <w:t>LBVAN2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2B33" w:rsidRPr="00AD46D3" w:rsidRDefault="007F2B33" w:rsidP="007F2B33">
            <w:pPr>
              <w:spacing w:before="100" w:beforeAutospacing="1" w:after="100" w:afterAutospacing="1"/>
              <w:jc w:val="center"/>
              <w:rPr>
                <w:rFonts w:ascii="HelveticaNeue" w:hAnsi="HelveticaNeue" w:cs="Times New Roman"/>
                <w:color w:val="313131"/>
                <w:sz w:val="24"/>
                <w:szCs w:val="24"/>
              </w:rPr>
            </w:pPr>
            <w:r w:rsidRPr="00AD46D3">
              <w:rPr>
                <w:rFonts w:ascii="Verdana" w:hAnsi="Verdana" w:cs="Times New Roman"/>
                <w:color w:val="000000"/>
                <w:sz w:val="18"/>
                <w:szCs w:val="18"/>
              </w:rPr>
              <w:t>Approved</w:t>
            </w:r>
          </w:p>
        </w:tc>
      </w:tr>
      <w:tr w:rsidR="007F2B33" w:rsidRPr="00AD46D3" w:rsidTr="00EB72E1">
        <w:trPr>
          <w:gridAfter w:val="2"/>
          <w:wAfter w:w="790" w:type="dxa"/>
        </w:trPr>
        <w:tc>
          <w:tcPr>
            <w:tcW w:w="4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B33" w:rsidRPr="00AD46D3" w:rsidRDefault="007F2B33" w:rsidP="007F2B33">
            <w:pPr>
              <w:spacing w:before="100" w:beforeAutospacing="1" w:after="100" w:afterAutospacing="1"/>
              <w:jc w:val="center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/>
                <w:sz w:val="18"/>
                <w:szCs w:val="18"/>
              </w:rPr>
              <w:t>Harrow-X Vision Dual Sport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B33" w:rsidRPr="002618A7" w:rsidRDefault="007F2B33" w:rsidP="007F2B3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618A7">
              <w:rPr>
                <w:color w:val="C00000"/>
                <w:sz w:val="24"/>
                <w:szCs w:val="24"/>
              </w:rPr>
              <w:t>HHXVG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2B33" w:rsidRPr="00AD46D3" w:rsidRDefault="007F2B33" w:rsidP="007F2B33">
            <w:pPr>
              <w:spacing w:before="100" w:beforeAutospacing="1" w:after="100" w:afterAutospacing="1"/>
              <w:jc w:val="center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/>
                <w:sz w:val="18"/>
                <w:szCs w:val="18"/>
              </w:rPr>
              <w:t>Approved</w:t>
            </w:r>
          </w:p>
        </w:tc>
      </w:tr>
      <w:tr w:rsidR="00851656" w:rsidRPr="00AD46D3" w:rsidTr="00EB72E1">
        <w:trPr>
          <w:gridAfter w:val="2"/>
          <w:wAfter w:w="790" w:type="dxa"/>
        </w:trPr>
        <w:tc>
          <w:tcPr>
            <w:tcW w:w="4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56" w:rsidRPr="00AD46D3" w:rsidRDefault="00851656" w:rsidP="007F2B33">
            <w:pPr>
              <w:spacing w:before="100" w:beforeAutospacing="1" w:after="100" w:afterAutospacing="1"/>
              <w:jc w:val="center"/>
              <w:rPr>
                <w:rFonts w:ascii="HelveticaNeue" w:hAnsi="HelveticaNeue" w:cs="Times New Roman"/>
                <w:color w:val="313131"/>
                <w:sz w:val="24"/>
                <w:szCs w:val="24"/>
              </w:rPr>
            </w:pPr>
            <w:r w:rsidRPr="00AD46D3">
              <w:rPr>
                <w:rFonts w:ascii="Verdana" w:hAnsi="Verdana" w:cs="Times New Roman"/>
                <w:color w:val="000000"/>
                <w:sz w:val="18"/>
                <w:szCs w:val="18"/>
              </w:rPr>
              <w:t>Under Armour Illusion 2 Wire Goggles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56" w:rsidRPr="00AD46D3" w:rsidRDefault="0007139B" w:rsidP="007F2B33">
            <w:pPr>
              <w:spacing w:before="100" w:beforeAutospacing="1" w:after="100" w:afterAutospacing="1"/>
              <w:jc w:val="center"/>
              <w:rPr>
                <w:rFonts w:ascii="HelveticaNeue" w:hAnsi="HelveticaNeue" w:cs="Times New Roman"/>
                <w:color w:val="313131"/>
                <w:sz w:val="24"/>
                <w:szCs w:val="24"/>
              </w:rPr>
            </w:pPr>
            <w:hyperlink r:id="rId15" w:tgtFrame="_blank" w:history="1">
              <w:r w:rsidR="00851656" w:rsidRPr="00AD46D3">
                <w:rPr>
                  <w:rFonts w:ascii="Verdana" w:hAnsi="Verdana" w:cs="Times New Roman"/>
                  <w:color w:val="660000"/>
                  <w:sz w:val="21"/>
                  <w:szCs w:val="21"/>
                </w:rPr>
                <w:t>UAI2WLFG</w:t>
              </w:r>
            </w:hyperlink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1656" w:rsidRPr="00A97C40" w:rsidRDefault="00851656" w:rsidP="007F2B33">
            <w:pPr>
              <w:spacing w:before="100" w:beforeAutospacing="1" w:after="100" w:afterAutospacing="1"/>
              <w:jc w:val="center"/>
              <w:rPr>
                <w:rFonts w:ascii="HelveticaNeue" w:hAnsi="HelveticaNeue" w:cs="Times New Roman"/>
                <w:b/>
                <w:color w:val="313131"/>
                <w:sz w:val="24"/>
                <w:szCs w:val="24"/>
              </w:rPr>
            </w:pPr>
            <w:r w:rsidRPr="00AD46D3">
              <w:rPr>
                <w:rFonts w:ascii="Verdana" w:hAnsi="Verdana" w:cs="Times New Roman"/>
                <w:color w:val="000000"/>
                <w:sz w:val="18"/>
                <w:szCs w:val="18"/>
              </w:rPr>
              <w:t>Approved</w:t>
            </w:r>
          </w:p>
        </w:tc>
      </w:tr>
    </w:tbl>
    <w:p w:rsidR="00A97C40" w:rsidRDefault="007F2B33" w:rsidP="00A97C40">
      <w:pPr>
        <w:shd w:val="clear" w:color="auto" w:fill="FFFFFF"/>
        <w:spacing w:after="225"/>
      </w:pPr>
      <w:r>
        <w:br w:type="textWrapping" w:clear="all"/>
      </w:r>
    </w:p>
    <w:p w:rsidR="00A97C40" w:rsidRPr="00A97C40" w:rsidRDefault="00A97C40" w:rsidP="00A97C40">
      <w:pPr>
        <w:shd w:val="clear" w:color="auto" w:fill="FFFFFF"/>
        <w:spacing w:after="225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A97C40">
        <w:rPr>
          <w:rFonts w:ascii="Verdana" w:eastAsia="Times New Roman" w:hAnsi="Verdana" w:cs="Times New Roman"/>
          <w:color w:val="000000"/>
          <w:sz w:val="21"/>
          <w:szCs w:val="21"/>
        </w:rPr>
        <w:t>In order for wi</w:t>
      </w:r>
      <w:r w:rsidR="008E68C2">
        <w:rPr>
          <w:rFonts w:ascii="Verdana" w:eastAsia="Times New Roman" w:hAnsi="Verdana" w:cs="Times New Roman"/>
          <w:color w:val="000000"/>
          <w:sz w:val="21"/>
          <w:szCs w:val="21"/>
        </w:rPr>
        <w:t>re goggles to be legal for girl</w:t>
      </w:r>
      <w:r w:rsidRPr="00A97C40">
        <w:rPr>
          <w:rFonts w:ascii="Verdana" w:eastAsia="Times New Roman" w:hAnsi="Verdana" w:cs="Times New Roman"/>
          <w:color w:val="000000"/>
          <w:sz w:val="21"/>
          <w:szCs w:val="21"/>
        </w:rPr>
        <w:t>'s field hockey, they must have a wire bar that stretches vertically through the goggle</w:t>
      </w:r>
      <w:r w:rsidR="008E68C2">
        <w:rPr>
          <w:rFonts w:ascii="Verdana" w:eastAsia="Times New Roman" w:hAnsi="Verdana" w:cs="Times New Roman"/>
          <w:color w:val="000000"/>
          <w:sz w:val="21"/>
          <w:szCs w:val="21"/>
        </w:rPr>
        <w:t>. The comparison between girl’s field hockey and girl</w:t>
      </w:r>
      <w:r w:rsidRPr="00A97C40">
        <w:rPr>
          <w:rFonts w:ascii="Verdana" w:eastAsia="Times New Roman" w:hAnsi="Verdana" w:cs="Times New Roman"/>
          <w:color w:val="000000"/>
          <w:sz w:val="21"/>
          <w:szCs w:val="21"/>
        </w:rPr>
        <w:t>'s lacrosse goggles can be found in the image below.</w:t>
      </w:r>
    </w:p>
    <w:p w:rsidR="00A97C40" w:rsidRDefault="00A97C40" w:rsidP="00A97C40">
      <w:pPr>
        <w:spacing w:before="100" w:beforeAutospacing="1" w:after="100" w:afterAutospacing="1"/>
      </w:pPr>
      <w:r w:rsidRPr="00A97C4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914400" y="6553200"/>
            <wp:positionH relativeFrom="column">
              <wp:align>left</wp:align>
            </wp:positionH>
            <wp:positionV relativeFrom="paragraph">
              <wp:align>top</wp:align>
            </wp:positionV>
            <wp:extent cx="5734050" cy="1556705"/>
            <wp:effectExtent l="0" t="0" r="0" b="5715"/>
            <wp:wrapSquare wrapText="bothSides"/>
            <wp:docPr id="1" name="Picture 1" descr="https://www.longstreth.com/field-hockey/images/field-hockey-goggles-vs-lacrosse-gogg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ongstreth.com/field-hockey/images/field-hockey-goggles-vs-lacrosse-goggle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55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3F5D">
        <w:br w:type="textWrapping" w:clear="all"/>
      </w:r>
    </w:p>
    <w:p w:rsidR="009E3F5D" w:rsidRDefault="009E3F5D" w:rsidP="00A97C40">
      <w:pPr>
        <w:spacing w:before="100" w:beforeAutospacing="1" w:after="100" w:afterAutospacing="1"/>
      </w:pPr>
    </w:p>
    <w:p w:rsidR="009E3F5D" w:rsidRDefault="009E3F5D" w:rsidP="00A97C40">
      <w:pPr>
        <w:spacing w:before="100" w:beforeAutospacing="1" w:after="100" w:afterAutospacing="1"/>
        <w:rPr>
          <w:i/>
          <w:sz w:val="28"/>
          <w:szCs w:val="28"/>
          <w:u w:val="single"/>
        </w:rPr>
      </w:pPr>
      <w:r>
        <w:rPr>
          <w:sz w:val="28"/>
          <w:szCs w:val="28"/>
        </w:rPr>
        <w:lastRenderedPageBreak/>
        <w:t>Rule 1.</w:t>
      </w:r>
      <w:r w:rsidR="006F6AB4">
        <w:rPr>
          <w:sz w:val="28"/>
          <w:szCs w:val="28"/>
        </w:rPr>
        <w:t>6.</w:t>
      </w:r>
      <w:r>
        <w:rPr>
          <w:sz w:val="28"/>
          <w:szCs w:val="28"/>
        </w:rPr>
        <w:t xml:space="preserve">5 states:  All field players shall wear eye protection that meets </w:t>
      </w:r>
      <w:r w:rsidRPr="009E3F5D">
        <w:rPr>
          <w:i/>
          <w:sz w:val="28"/>
          <w:szCs w:val="28"/>
          <w:u w:val="single"/>
        </w:rPr>
        <w:t>the ASTM standard for field hoc</w:t>
      </w:r>
      <w:r>
        <w:rPr>
          <w:i/>
          <w:sz w:val="28"/>
          <w:szCs w:val="28"/>
          <w:u w:val="single"/>
        </w:rPr>
        <w:t>key at the time of manufacture.</w:t>
      </w:r>
    </w:p>
    <w:p w:rsidR="009E3F5D" w:rsidRDefault="009E3F5D" w:rsidP="00A97C40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Note: Effective January 1 2019, all eye protection shall be permanently labeled with the ASTM 2713 standard for field hockey at time of manufacture.</w:t>
      </w:r>
    </w:p>
    <w:p w:rsidR="009E3F5D" w:rsidRDefault="009E3F5D" w:rsidP="00A97C40">
      <w:pPr>
        <w:spacing w:before="100" w:beforeAutospacing="1" w:after="100" w:afterAutospacing="1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Therefore, this is no longer a PIAA Modification to the 2018 NFHS Rule Book.  The 2018 PIAA Modification to protective eye wear is for prescription </w:t>
      </w:r>
      <w:r w:rsidR="006F6AB4">
        <w:rPr>
          <w:color w:val="FF0000"/>
          <w:sz w:val="28"/>
          <w:szCs w:val="28"/>
        </w:rPr>
        <w:t>eyewear that is necessary for players to wear to participate in Field Hockey.</w:t>
      </w:r>
    </w:p>
    <w:p w:rsidR="006F6AB4" w:rsidRDefault="006F6AB4" w:rsidP="00A97C40">
      <w:pPr>
        <w:spacing w:before="100" w:beforeAutospacing="1" w:after="100" w:afterAutospacing="1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It</w:t>
      </w:r>
      <w:r w:rsidRPr="006F6AB4">
        <w:rPr>
          <w:color w:val="222222"/>
          <w:sz w:val="28"/>
          <w:szCs w:val="28"/>
        </w:rPr>
        <w:t xml:space="preserve"> was unanimously voted to adopt the recommendation of the Sports Medicine Advisory Committee to modify NFHS Field Hockey Rule 1-6-5 to permit players with prescription glasses to wear protective eyewear that meets the ASTM</w:t>
      </w:r>
      <w:r>
        <w:rPr>
          <w:color w:val="222222"/>
          <w:sz w:val="28"/>
          <w:szCs w:val="28"/>
        </w:rPr>
        <w:t xml:space="preserve"> </w:t>
      </w:r>
      <w:r w:rsidRPr="006F6AB4">
        <w:rPr>
          <w:color w:val="222222"/>
          <w:sz w:val="28"/>
          <w:szCs w:val="28"/>
        </w:rPr>
        <w:t>F803 standard.</w:t>
      </w:r>
    </w:p>
    <w:p w:rsidR="006F6AB4" w:rsidRDefault="006F6AB4" w:rsidP="00A97C40">
      <w:pPr>
        <w:spacing w:before="100" w:beforeAutospacing="1" w:after="100" w:afterAutospacing="1"/>
        <w:rPr>
          <w:color w:val="222222"/>
          <w:sz w:val="28"/>
          <w:szCs w:val="28"/>
        </w:rPr>
      </w:pPr>
      <w:r>
        <w:rPr>
          <w:noProof/>
        </w:rPr>
        <w:drawing>
          <wp:inline distT="0" distB="0" distL="0" distR="0" wp14:anchorId="59818726" wp14:editId="6B406E55">
            <wp:extent cx="2152650" cy="1704975"/>
            <wp:effectExtent l="0" t="0" r="0" b="9525"/>
            <wp:docPr id="2" name="Picture 2" descr="http://www.myeyewear2go.com/media/catalog/product/cache/1/image/1200x1200/9df78eab33525d08d6e5fb8d27136e95/l/i/liberty_sport_rec_specs_maxx_20_glasses_bright_blue_and_black_frame_mx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yeyewear2go.com/media/catalog/product/cache/1/image/1200x1200/9df78eab33525d08d6e5fb8d27136e95/l/i/liberty_sport_rec_specs_maxx_20_glasses_bright_blue_and_black_frame_mx-2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22222"/>
          <w:sz w:val="28"/>
          <w:szCs w:val="28"/>
        </w:rPr>
        <w:t>Commonly called “spec recs” – they come with a band to hold the glasses to the head and are marked as Meet ASTM F803 standard.</w:t>
      </w:r>
    </w:p>
    <w:p w:rsidR="006F6AB4" w:rsidRDefault="006F6AB4" w:rsidP="00A97C40">
      <w:pPr>
        <w:spacing w:before="100" w:beforeAutospacing="1" w:after="100" w:afterAutospacing="1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If a player is wearing Prescription ASTM F803 Recreational Sports Glasses, there is no requirement for the player to wear additiona</w:t>
      </w:r>
      <w:r w:rsidR="008E68C2">
        <w:rPr>
          <w:color w:val="222222"/>
          <w:sz w:val="28"/>
          <w:szCs w:val="28"/>
        </w:rPr>
        <w:t xml:space="preserve">l protective eyewear over the </w:t>
      </w:r>
      <w:bookmarkStart w:id="0" w:name="_GoBack"/>
      <w:bookmarkEnd w:id="0"/>
      <w:r>
        <w:rPr>
          <w:color w:val="222222"/>
          <w:sz w:val="28"/>
          <w:szCs w:val="28"/>
        </w:rPr>
        <w:t>prescription eyewear.</w:t>
      </w:r>
    </w:p>
    <w:p w:rsidR="006F6AB4" w:rsidRDefault="006F6AB4" w:rsidP="00A97C40">
      <w:pPr>
        <w:spacing w:before="100" w:beforeAutospacing="1" w:after="100" w:afterAutospacing="1"/>
        <w:rPr>
          <w:color w:val="222222"/>
          <w:sz w:val="28"/>
          <w:szCs w:val="28"/>
        </w:rPr>
      </w:pPr>
    </w:p>
    <w:p w:rsidR="006F6AB4" w:rsidRPr="006F6AB4" w:rsidRDefault="006F6AB4" w:rsidP="00A97C40">
      <w:pPr>
        <w:spacing w:before="100" w:beforeAutospacing="1" w:after="100" w:afterAutospacing="1"/>
        <w:rPr>
          <w:color w:val="FF0000"/>
          <w:sz w:val="28"/>
          <w:szCs w:val="28"/>
        </w:rPr>
      </w:pPr>
    </w:p>
    <w:sectPr w:rsidR="006F6AB4" w:rsidRPr="006F6AB4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39B" w:rsidRDefault="0007139B" w:rsidP="00A97C40">
      <w:r>
        <w:separator/>
      </w:r>
    </w:p>
  </w:endnote>
  <w:endnote w:type="continuationSeparator" w:id="0">
    <w:p w:rsidR="0007139B" w:rsidRDefault="0007139B" w:rsidP="00A9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C40" w:rsidRDefault="00B33C5A">
    <w:pPr>
      <w:pStyle w:val="Footer"/>
    </w:pPr>
    <w:r>
      <w:t>2018</w:t>
    </w:r>
  </w:p>
  <w:p w:rsidR="00A97C40" w:rsidRDefault="00A97C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39B" w:rsidRDefault="0007139B" w:rsidP="00A97C40">
      <w:r>
        <w:separator/>
      </w:r>
    </w:p>
  </w:footnote>
  <w:footnote w:type="continuationSeparator" w:id="0">
    <w:p w:rsidR="0007139B" w:rsidRDefault="0007139B" w:rsidP="00A97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C40" w:rsidRDefault="00A97C4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A97C40" w:rsidRDefault="00A97C40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ASTM</w:t>
                              </w:r>
                              <w:r w:rsidR="00851656">
                                <w:rPr>
                                  <w:caps/>
                                  <w:color w:val="FFFFFF" w:themeColor="background1"/>
                                </w:rPr>
                                <w:t xml:space="preserve"> 2713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approved goggles for Field Hockey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A97C40" w:rsidRDefault="00A97C40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ASTM</w:t>
                        </w:r>
                        <w:r w:rsidR="00851656">
                          <w:rPr>
                            <w:caps/>
                            <w:color w:val="FFFFFF" w:themeColor="background1"/>
                          </w:rPr>
                          <w:t xml:space="preserve"> 2713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 xml:space="preserve"> approved goggles for Field Hockey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D3"/>
    <w:rsid w:val="00044697"/>
    <w:rsid w:val="0005713F"/>
    <w:rsid w:val="0007139B"/>
    <w:rsid w:val="002618A7"/>
    <w:rsid w:val="002C7733"/>
    <w:rsid w:val="0049480D"/>
    <w:rsid w:val="004C2F66"/>
    <w:rsid w:val="006F6AB4"/>
    <w:rsid w:val="007F2B33"/>
    <w:rsid w:val="00851656"/>
    <w:rsid w:val="008C7EA1"/>
    <w:rsid w:val="008D1B6A"/>
    <w:rsid w:val="008E68C2"/>
    <w:rsid w:val="00965AAE"/>
    <w:rsid w:val="009E3F5D"/>
    <w:rsid w:val="00A3791B"/>
    <w:rsid w:val="00A62A07"/>
    <w:rsid w:val="00A97C40"/>
    <w:rsid w:val="00AB4C45"/>
    <w:rsid w:val="00AD46D3"/>
    <w:rsid w:val="00B33C5A"/>
    <w:rsid w:val="00B5777E"/>
    <w:rsid w:val="00D86899"/>
    <w:rsid w:val="00E916B0"/>
    <w:rsid w:val="00EB72E1"/>
    <w:rsid w:val="00EE57C1"/>
    <w:rsid w:val="00F4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4D56ED-BDFB-D847-94E3-D042F16B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46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7C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7C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C40"/>
  </w:style>
  <w:style w:type="paragraph" w:styleId="Footer">
    <w:name w:val="footer"/>
    <w:basedOn w:val="Normal"/>
    <w:link w:val="FooterChar"/>
    <w:uiPriority w:val="99"/>
    <w:unhideWhenUsed/>
    <w:rsid w:val="00A97C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C40"/>
  </w:style>
  <w:style w:type="paragraph" w:styleId="BalloonText">
    <w:name w:val="Balloon Text"/>
    <w:basedOn w:val="Normal"/>
    <w:link w:val="BalloonTextChar"/>
    <w:uiPriority w:val="99"/>
    <w:semiHidden/>
    <w:unhideWhenUsed/>
    <w:rsid w:val="008516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4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ngstreth.com/Bangerz-Sleek-Fitting-Eyeguard-Youth/productinfo/LHS6000Y/" TargetMode="External"/><Relationship Id="rId13" Type="http://schemas.openxmlformats.org/officeDocument/2006/relationships/hyperlink" Target="https://www.longstreth.com/STX-Rookie/productinfo/LSGGLXR/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longstreth.com/Bangerz-Sunglasses-Eyeguard-_-Goggles/productinfo/LHS7900/" TargetMode="External"/><Relationship Id="rId12" Type="http://schemas.openxmlformats.org/officeDocument/2006/relationships/hyperlink" Target="https://www.longstreth.com/STX-2-See-Youth-Field-Hockey-or-Lacrosse-Goggle/productinfo/STXFHGY/" TargetMode="External"/><Relationship Id="rId1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image" Target="media/image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longstreth.com/Bangerz-Elite-Anti-Fog-Goggle/productinfo/LHSE/" TargetMode="External"/><Relationship Id="rId11" Type="http://schemas.openxmlformats.org/officeDocument/2006/relationships/hyperlink" Target="https://www.longstreth.com/STX-2-See-Field-Hockey-Or-Lacrosse-Goggle/productinfo/STXFHG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longstreth.com/prodinfo.asp?number=UAI2WLFG" TargetMode="External"/><Relationship Id="rId10" Type="http://schemas.openxmlformats.org/officeDocument/2006/relationships/hyperlink" Target="https://www.longstreth.com/Cascade-Polyarc-Lacrosse-Goggle/productinfo/LCPARC/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longstreth.com/Bangerz-Over-Glasses-Goggle/productinfo/LHOGG/" TargetMode="External"/><Relationship Id="rId14" Type="http://schemas.openxmlformats.org/officeDocument/2006/relationships/hyperlink" Target="https://www.longstreth.com/Brine-Vantage-2-Field-Hockey-or-Lacrosse-Goggle/productinfo/LBVAN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ASTM 2713 approved goggles for Field Hockey</vt:lpstr>
    </vt:vector>
  </TitlesOfParts>
  <Company/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ASTM 2713 approved goggles for Field Hockey</dc:title>
  <dc:subject/>
  <dc:creator>Bev Hooper</dc:creator>
  <cp:keywords/>
  <dc:description/>
  <cp:lastModifiedBy>Sandra Yost</cp:lastModifiedBy>
  <cp:revision>2</cp:revision>
  <cp:lastPrinted>2017-10-03T16:34:00Z</cp:lastPrinted>
  <dcterms:created xsi:type="dcterms:W3CDTF">2018-07-25T18:07:00Z</dcterms:created>
  <dcterms:modified xsi:type="dcterms:W3CDTF">2018-07-25T18:07:00Z</dcterms:modified>
</cp:coreProperties>
</file>